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13</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418428</w:t>
      </w:r>
    </w:p>
    <w:p>
      <w:pPr>
        <w:pStyle w:val="15"/>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7.16.3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bookmarkStart w:id="2" w:name="OLE_LINK7"/>
      <w:bookmarkStart w:id="3" w:name="OLE_LINK8"/>
      <w:r>
        <w:rPr>
          <w:rFonts w:hint="eastAsia" w:eastAsia="宋体"/>
          <w:b/>
          <w:sz w:val="22"/>
          <w:lang w:val="en-US" w:eastAsia="zh-CN"/>
        </w:rPr>
        <w:t xml:space="preserve">    </w:t>
      </w:r>
      <w:bookmarkStart w:id="7" w:name="_GoBack"/>
      <w:bookmarkEnd w:id="7"/>
      <w:r>
        <w:rPr>
          <w:rFonts w:hint="eastAsia" w:eastAsia="宋体"/>
          <w:sz w:val="22"/>
          <w:lang w:val="en-US" w:eastAsia="zh-CN"/>
        </w:rPr>
        <w:t xml:space="preserve">Discussion on BS demodulation requirements for interference suppressing with MMSE-IRC receiver </w:t>
      </w:r>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test scenario and simulation assumptions for BS with MMSE-IRC receiver, the WF has been approved in [1]. In this contribution, we further discuss the remaining open test parameters.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pPr>
        <w:rPr>
          <w:b/>
          <w:i/>
          <w:iCs/>
          <w:sz w:val="20"/>
          <w:szCs w:val="20"/>
          <w:u w:val="single"/>
        </w:rPr>
      </w:pPr>
      <w:bookmarkStart w:id="6" w:name="_Hlk70326378"/>
      <w:r>
        <w:rPr>
          <w:b/>
          <w:i/>
          <w:iCs/>
          <w:sz w:val="20"/>
          <w:szCs w:val="20"/>
          <w:u w:val="single"/>
        </w:rPr>
        <w:t>Test scenarios</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 xml:space="preserve">On </w:t>
      </w:r>
      <w:r>
        <w:rPr>
          <w:i/>
          <w:iCs/>
          <w:sz w:val="20"/>
          <w:szCs w:val="20"/>
          <w:lang w:eastAsia="zh-CN"/>
        </w:rPr>
        <w:t>HomNet and HetNet scenarios</w:t>
      </w:r>
      <w:r>
        <w:rPr>
          <w:rFonts w:eastAsia="宋体"/>
          <w:i/>
          <w:iCs/>
          <w:sz w:val="20"/>
          <w:szCs w:val="20"/>
          <w:lang w:eastAsia="zh-CN"/>
        </w:rPr>
        <w:t>:</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Cover HomNet and HetNet scenarios.</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eastAsiaTheme="minorEastAsia"/>
          <w:i/>
          <w:iCs/>
          <w:sz w:val="20"/>
          <w:szCs w:val="20"/>
          <w:lang w:eastAsia="zh-CN"/>
        </w:rPr>
        <w:t>FFS whether to introduce additional applicability rule.</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 xml:space="preserve">On </w:t>
      </w:r>
      <w:r>
        <w:rPr>
          <w:i/>
          <w:iCs/>
          <w:sz w:val="20"/>
          <w:szCs w:val="20"/>
          <w:lang w:eastAsia="zh-CN"/>
        </w:rPr>
        <w:t>scenario with unaligned TDD pattern</w:t>
      </w:r>
      <w:r>
        <w:rPr>
          <w:rFonts w:eastAsia="宋体"/>
          <w:i/>
          <w:iCs/>
          <w:sz w:val="20"/>
          <w:szCs w:val="20"/>
          <w:lang w:eastAsia="zh-CN"/>
        </w:rPr>
        <w:t>:</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rFonts w:hint="default"/>
          <w:sz w:val="20"/>
          <w:szCs w:val="20"/>
          <w:lang w:val="en-US" w:eastAsia="zh-CN"/>
        </w:rPr>
      </w:pPr>
      <w:r>
        <w:rPr>
          <w:i/>
          <w:iCs/>
          <w:sz w:val="20"/>
          <w:szCs w:val="20"/>
          <w:lang w:eastAsia="zh-CN"/>
        </w:rPr>
        <w:t>For NR_demod_Ph5 WI, only consider interference model with aligned TDD pattern between cells.</w:t>
      </w:r>
    </w:p>
    <w:p>
      <w:pPr>
        <w:tabs>
          <w:tab w:val="left" w:pos="1134"/>
        </w:tabs>
        <w:spacing w:before="60"/>
        <w:jc w:val="both"/>
        <w:rPr>
          <w:rFonts w:hint="eastAsia"/>
          <w:sz w:val="20"/>
          <w:szCs w:val="20"/>
          <w:lang w:val="en-US" w:eastAsia="zh-CN"/>
        </w:rPr>
      </w:pPr>
      <w:r>
        <w:rPr>
          <w:rFonts w:hint="eastAsia"/>
          <w:sz w:val="20"/>
          <w:szCs w:val="20"/>
          <w:lang w:val="en-US" w:eastAsia="zh-CN"/>
        </w:rPr>
        <w:t xml:space="preserve">In LTE, the test requirements of Homogeneous network are not applicable for Local Area BS and Home BS. We think it is rational to follow similar approach in NR. </w:t>
      </w:r>
    </w:p>
    <w:p>
      <w:pPr>
        <w:tabs>
          <w:tab w:val="left" w:pos="1134"/>
        </w:tabs>
        <w:spacing w:before="60"/>
        <w:jc w:val="both"/>
        <w:rPr>
          <w:rFonts w:hint="eastAsia"/>
          <w:sz w:val="20"/>
          <w:szCs w:val="20"/>
          <w:lang w:val="en-US" w:eastAsia="zh-CN"/>
        </w:rPr>
      </w:pPr>
      <w:r>
        <w:rPr>
          <w:rFonts w:hint="eastAsia"/>
          <w:sz w:val="20"/>
          <w:szCs w:val="20"/>
          <w:lang w:val="en-US" w:eastAsia="zh-CN"/>
        </w:rPr>
        <w:t>In 38.141-2 Clause 4.6, BS class manufactory declaration is as follows:</w:t>
      </w:r>
    </w:p>
    <w:tbl>
      <w:tblPr>
        <w:tblStyle w:val="1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tabs>
                <w:tab w:val="left" w:pos="1134"/>
              </w:tabs>
              <w:spacing w:before="60"/>
              <w:jc w:val="both"/>
              <w:rPr>
                <w:rFonts w:hint="default"/>
                <w:sz w:val="20"/>
                <w:szCs w:val="20"/>
                <w:lang w:val="en-US" w:eastAsia="zh-CN"/>
              </w:rPr>
            </w:pPr>
            <w:r>
              <w:rPr>
                <w:rFonts w:hint="default"/>
                <w:sz w:val="20"/>
                <w:szCs w:val="20"/>
                <w:lang w:val="en-US" w:eastAsia="zh-CN"/>
              </w:rPr>
              <w:t>D.6</w:t>
            </w:r>
          </w:p>
        </w:tc>
        <w:tc>
          <w:tcPr>
            <w:tcW w:w="1842" w:type="dxa"/>
            <w:tcBorders>
              <w:top w:val="single" w:color="auto" w:sz="4" w:space="0"/>
              <w:left w:val="single" w:color="auto" w:sz="4" w:space="0"/>
              <w:bottom w:val="single" w:color="auto" w:sz="4" w:space="0"/>
              <w:right w:val="single" w:color="auto" w:sz="4" w:space="0"/>
            </w:tcBorders>
          </w:tcPr>
          <w:p>
            <w:pPr>
              <w:tabs>
                <w:tab w:val="left" w:pos="1134"/>
              </w:tabs>
              <w:spacing w:before="60"/>
              <w:jc w:val="both"/>
              <w:rPr>
                <w:rFonts w:hint="default"/>
                <w:sz w:val="20"/>
                <w:szCs w:val="20"/>
                <w:lang w:val="en-US" w:eastAsia="zh-CN"/>
              </w:rPr>
            </w:pPr>
            <w:r>
              <w:rPr>
                <w:rFonts w:hint="default"/>
                <w:sz w:val="20"/>
                <w:szCs w:val="20"/>
                <w:lang w:val="en-US" w:eastAsia="zh-CN"/>
              </w:rPr>
              <w:t>BS class</w:t>
            </w:r>
          </w:p>
        </w:tc>
        <w:tc>
          <w:tcPr>
            <w:tcW w:w="4111" w:type="dxa"/>
            <w:tcBorders>
              <w:top w:val="single" w:color="auto" w:sz="4" w:space="0"/>
              <w:left w:val="single" w:color="auto" w:sz="4" w:space="0"/>
              <w:bottom w:val="single" w:color="auto" w:sz="4" w:space="0"/>
              <w:right w:val="single" w:color="auto" w:sz="4" w:space="0"/>
            </w:tcBorders>
          </w:tcPr>
          <w:p>
            <w:pPr>
              <w:tabs>
                <w:tab w:val="left" w:pos="1134"/>
              </w:tabs>
              <w:spacing w:before="60"/>
              <w:jc w:val="both"/>
              <w:rPr>
                <w:rFonts w:hint="default"/>
                <w:sz w:val="20"/>
                <w:szCs w:val="20"/>
                <w:lang w:val="en-US" w:eastAsia="zh-CN"/>
              </w:rPr>
            </w:pPr>
            <w:r>
              <w:rPr>
                <w:rFonts w:hint="default"/>
                <w:sz w:val="20"/>
                <w:szCs w:val="20"/>
                <w:lang w:val="en-US" w:eastAsia="zh-CN"/>
              </w:rPr>
              <w:t>Declared as Wide Area BS, Medium Range BS, or Local Area BS.</w:t>
            </w:r>
          </w:p>
        </w:tc>
      </w:tr>
    </w:tbl>
    <w:p>
      <w:pPr>
        <w:tabs>
          <w:tab w:val="left" w:pos="1134"/>
        </w:tabs>
        <w:spacing w:before="60"/>
        <w:jc w:val="both"/>
        <w:rPr>
          <w:rFonts w:hint="default"/>
          <w:sz w:val="20"/>
          <w:szCs w:val="20"/>
          <w:lang w:val="en-US" w:eastAsia="zh-CN"/>
        </w:rPr>
      </w:pPr>
      <w:r>
        <w:rPr>
          <w:rFonts w:hint="eastAsia"/>
          <w:sz w:val="20"/>
          <w:szCs w:val="20"/>
          <w:lang w:val="en-US" w:eastAsia="zh-CN"/>
        </w:rPr>
        <w:t>For Wide Area BS and Medium Range BS, we think the test requirements of Homogeneous network shall still be applicable, while for Local Area BS, the test of Homogeneous network can be skipped.</w:t>
      </w:r>
    </w:p>
    <w:p>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lang w:val="en-US" w:eastAsia="zh-CN"/>
        </w:rPr>
        <w:t>Proposal 1: Introduce the applicability rule that the test requirements of Homogeneous network are not applicable for Local Area BS.</w:t>
      </w:r>
    </w:p>
    <w:p>
      <w:pPr>
        <w:rPr>
          <w:b/>
          <w:i/>
          <w:iCs/>
          <w:sz w:val="20"/>
          <w:szCs w:val="20"/>
          <w:u w:val="single"/>
        </w:rPr>
      </w:pPr>
    </w:p>
    <w:p>
      <w:pPr>
        <w:rPr>
          <w:b/>
          <w:i/>
          <w:iCs/>
          <w:sz w:val="20"/>
          <w:szCs w:val="20"/>
          <w:u w:val="single"/>
        </w:rPr>
      </w:pPr>
      <w:r>
        <w:rPr>
          <w:b/>
          <w:i/>
          <w:iCs/>
          <w:sz w:val="20"/>
          <w:szCs w:val="20"/>
          <w:u w:val="single"/>
        </w:rPr>
        <w:t>Interference profile</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 xml:space="preserve">On interference modelling:  </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Reuse the same interference modelling as captured in B.6.2 in TS36.104, to transmit random 16QAM symbol for the neighbour PUSCH</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On how to account for HPUE in existing LTE profiles:</w:t>
      </w:r>
    </w:p>
    <w:p>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794" w:leftChars="213" w:hanging="283"/>
        <w:textAlignment w:val="auto"/>
        <w:rPr>
          <w:i/>
          <w:iCs/>
          <w:sz w:val="20"/>
          <w:szCs w:val="20"/>
          <w:lang w:eastAsia="zh-CN"/>
        </w:rPr>
      </w:pPr>
      <w:r>
        <w:rPr>
          <w:i/>
          <w:iCs/>
          <w:sz w:val="20"/>
          <w:szCs w:val="20"/>
          <w:lang w:eastAsia="zh-CN"/>
        </w:rPr>
        <w:t>Reuse the LTE interference power level as a start point, and check performance gain of MMSE-IRC over baseline MMSE.</w:t>
      </w:r>
    </w:p>
    <w:p>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794" w:leftChars="213" w:hanging="283"/>
        <w:textAlignment w:val="auto"/>
        <w:rPr>
          <w:i/>
          <w:iCs/>
          <w:sz w:val="20"/>
          <w:szCs w:val="20"/>
          <w:lang w:eastAsia="zh-CN"/>
        </w:rPr>
      </w:pPr>
      <w:r>
        <w:rPr>
          <w:i/>
          <w:iCs/>
          <w:sz w:val="20"/>
          <w:szCs w:val="20"/>
          <w:lang w:eastAsia="zh-CN"/>
        </w:rPr>
        <w:t xml:space="preserve">It is not precluded for companies to bring system level simulation on other profiles. </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Proposals on how to account for HPUE in existing LTE profiles.</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Proposal 1: Perform new system-level simulations with the inclusion of HPUEs</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Proposal 2: Consider artificially increasing DIP/INR with additional 3 or 7 dB</w:t>
      </w:r>
    </w:p>
    <w:p>
      <w:pPr>
        <w:tabs>
          <w:tab w:val="left" w:pos="1134"/>
        </w:tabs>
        <w:spacing w:before="60"/>
        <w:jc w:val="both"/>
        <w:rPr>
          <w:rFonts w:hint="default"/>
          <w:sz w:val="20"/>
          <w:szCs w:val="20"/>
          <w:lang w:val="en-US" w:eastAsia="zh-CN"/>
        </w:rPr>
      </w:pPr>
      <w:r>
        <w:rPr>
          <w:rFonts w:hint="eastAsia"/>
          <w:sz w:val="20"/>
          <w:szCs w:val="20"/>
          <w:lang w:val="en-US" w:eastAsia="zh-CN"/>
        </w:rPr>
        <w:t>From the perspective of aligning the test setup with real network, the HPUE shall be modeled in the interference profile, considering that HPUE is the mandatory capability in our operating band n41 and n79, and HPUE will be scheduled at the edge with high possibility. However, we are also fine to reuse the interference profile from LTE considering the following aspects:</w:t>
      </w:r>
    </w:p>
    <w:p>
      <w:pPr>
        <w:numPr>
          <w:ilvl w:val="0"/>
          <w:numId w:val="7"/>
        </w:numPr>
        <w:tabs>
          <w:tab w:val="left" w:pos="1134"/>
        </w:tabs>
        <w:spacing w:before="60"/>
        <w:jc w:val="both"/>
        <w:rPr>
          <w:rFonts w:hint="eastAsia"/>
          <w:sz w:val="20"/>
          <w:szCs w:val="20"/>
          <w:lang w:val="en-US" w:eastAsia="zh-CN"/>
        </w:rPr>
      </w:pPr>
      <w:r>
        <w:rPr>
          <w:rFonts w:hint="eastAsia"/>
          <w:sz w:val="20"/>
          <w:szCs w:val="20"/>
          <w:lang w:val="en-US" w:eastAsia="zh-CN"/>
        </w:rPr>
        <w:t>Based on our simulation results, which using the LTE interference profile as simulation assumption, about 3.4-10.7 dB performance gain can be achieved.</w:t>
      </w:r>
    </w:p>
    <w:p>
      <w:pPr>
        <w:numPr>
          <w:ilvl w:val="0"/>
          <w:numId w:val="7"/>
        </w:numPr>
        <w:tabs>
          <w:tab w:val="left" w:pos="1134"/>
        </w:tabs>
        <w:spacing w:before="60"/>
        <w:jc w:val="both"/>
        <w:rPr>
          <w:rFonts w:hint="eastAsia"/>
          <w:sz w:val="20"/>
          <w:szCs w:val="20"/>
          <w:lang w:val="en-US" w:eastAsia="zh-CN"/>
        </w:rPr>
      </w:pPr>
      <w:r>
        <w:rPr>
          <w:rFonts w:hint="eastAsia"/>
          <w:sz w:val="20"/>
          <w:szCs w:val="20"/>
          <w:lang w:val="en-US" w:eastAsia="zh-CN"/>
        </w:rPr>
        <w:t>With higher interference caused by HPUE, the gain of IRC will be increased.</w:t>
      </w:r>
    </w:p>
    <w:p>
      <w:pPr>
        <w:numPr>
          <w:ilvl w:val="0"/>
          <w:numId w:val="7"/>
        </w:numPr>
        <w:tabs>
          <w:tab w:val="left" w:pos="1134"/>
        </w:tabs>
        <w:spacing w:before="60"/>
        <w:jc w:val="both"/>
        <w:rPr>
          <w:rFonts w:hint="eastAsia"/>
          <w:sz w:val="20"/>
          <w:szCs w:val="20"/>
          <w:lang w:val="en-US" w:eastAsia="zh-CN"/>
        </w:rPr>
      </w:pPr>
      <w:r>
        <w:rPr>
          <w:rFonts w:hint="eastAsia"/>
          <w:sz w:val="20"/>
          <w:szCs w:val="20"/>
          <w:lang w:val="en-US" w:eastAsia="zh-CN"/>
        </w:rPr>
        <w:t>The workload of running system level simulation is too much, we worry about whether we can finish the work item in time.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b/>
          <w:bCs/>
          <w:i/>
          <w:iCs/>
          <w:sz w:val="20"/>
          <w:szCs w:val="20"/>
          <w:lang w:val="en-US" w:eastAsia="zh-CN"/>
        </w:rPr>
        <w:t>Reuse LTE based interference profile in TR 36.884, that are DIP1 = -1.11 and DIP2 = -10.91 for Homogeneous network, DIP1 = -0.43 and DIP2 = -13.78 for Heterogeneous network.</w:t>
      </w:r>
    </w:p>
    <w:p>
      <w:pPr>
        <w:rPr>
          <w:b/>
          <w:i/>
          <w:iCs/>
          <w:sz w:val="20"/>
          <w:szCs w:val="20"/>
          <w:u w:val="single"/>
        </w:rPr>
      </w:pPr>
    </w:p>
    <w:p>
      <w:pPr>
        <w:rPr>
          <w:b/>
          <w:i/>
          <w:iCs/>
          <w:sz w:val="20"/>
          <w:szCs w:val="20"/>
          <w:u w:val="single"/>
        </w:rPr>
      </w:pPr>
      <w:r>
        <w:rPr>
          <w:b/>
          <w:i/>
          <w:iCs/>
          <w:sz w:val="20"/>
          <w:szCs w:val="20"/>
          <w:u w:val="single"/>
        </w:rPr>
        <w:t>Waveform</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Agreement</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Cover CP-OFDM and FFS DFT-s-OFDM</w:t>
      </w:r>
    </w:p>
    <w:p>
      <w:pPr>
        <w:tabs>
          <w:tab w:val="left" w:pos="1134"/>
        </w:tabs>
        <w:spacing w:before="60"/>
        <w:jc w:val="both"/>
        <w:rPr>
          <w:rFonts w:hint="eastAsia"/>
          <w:sz w:val="20"/>
          <w:szCs w:val="20"/>
          <w:lang w:val="en-US" w:eastAsia="zh-CN"/>
        </w:rPr>
      </w:pPr>
      <w:r>
        <w:rPr>
          <w:rFonts w:hint="eastAsia"/>
          <w:sz w:val="20"/>
          <w:szCs w:val="20"/>
          <w:lang w:val="en-US" w:eastAsia="zh-CN"/>
        </w:rPr>
        <w:t>In ICI scenario which usually considering cell edge, it is more likely to use the DFT-s-OFDM waveform with lower PAPR. Therefore, we think the DFT-s-OFDM shall be also covered.</w:t>
      </w:r>
    </w:p>
    <w:p>
      <w:pPr>
        <w:tabs>
          <w:tab w:val="left" w:pos="1134"/>
        </w:tabs>
        <w:spacing w:before="156" w:beforeLines="50"/>
        <w:jc w:val="both"/>
        <w:rPr>
          <w:b/>
          <w:i/>
          <w:iCs/>
          <w:sz w:val="20"/>
          <w:szCs w:val="20"/>
          <w:u w:val="single"/>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Cover DFT-s-OFDM related requirements.</w:t>
      </w:r>
    </w:p>
    <w:p>
      <w:pPr>
        <w:rPr>
          <w:b/>
          <w:i/>
          <w:iCs/>
          <w:sz w:val="20"/>
          <w:szCs w:val="20"/>
          <w:u w:val="single"/>
        </w:rPr>
      </w:pPr>
    </w:p>
    <w:p>
      <w:pPr>
        <w:rPr>
          <w:b/>
          <w:i/>
          <w:iCs/>
          <w:sz w:val="20"/>
          <w:szCs w:val="20"/>
          <w:u w:val="single"/>
        </w:rPr>
      </w:pPr>
      <w:r>
        <w:rPr>
          <w:b/>
          <w:i/>
          <w:iCs/>
          <w:sz w:val="20"/>
          <w:szCs w:val="20"/>
          <w:u w:val="single"/>
        </w:rPr>
        <w:t>Channel bandwidth</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Agreement:</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F</w:t>
      </w:r>
      <w:r>
        <w:rPr>
          <w:i/>
          <w:iCs/>
          <w:sz w:val="20"/>
          <w:szCs w:val="20"/>
          <w:lang w:eastAsia="zh-CN"/>
        </w:rPr>
        <w:t>or CP-OFDM:</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For performance evaluation purpose, Minimum channel bandwidth for each SCS, i.e., 5MHz for 15kHz SCS and 10MHz for 30kHz.</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F</w:t>
      </w:r>
      <w:r>
        <w:rPr>
          <w:rFonts w:eastAsiaTheme="minorEastAsia"/>
          <w:i/>
          <w:iCs/>
          <w:sz w:val="20"/>
          <w:szCs w:val="20"/>
          <w:lang w:val="en-US" w:eastAsia="zh-CN"/>
        </w:rPr>
        <w:t>urther discuss the CHBW for requirement definition</w:t>
      </w:r>
    </w:p>
    <w:p>
      <w:pPr>
        <w:tabs>
          <w:tab w:val="left" w:pos="1134"/>
        </w:tabs>
        <w:spacing w:before="60"/>
        <w:jc w:val="both"/>
        <w:rPr>
          <w:rFonts w:hint="default"/>
          <w:sz w:val="20"/>
          <w:szCs w:val="20"/>
          <w:lang w:val="en-US" w:eastAsia="zh-CN"/>
        </w:rPr>
      </w:pPr>
      <w:r>
        <w:rPr>
          <w:rFonts w:hint="eastAsia"/>
          <w:sz w:val="20"/>
          <w:szCs w:val="20"/>
          <w:lang w:val="en-US" w:eastAsia="zh-CN"/>
        </w:rPr>
        <w:t>Based on current applicability rule, for each subcarrier spacing declared to be supported, the tests shall be done only for the widest supported channel bandwidth which BS supported. Thereby, for CP-OFDM, we support to consider 5MHz, 10MHz, 20MHz for 15kHz, and 10MHz, 20MHz, 40MHz, 100MHz for 30kHz, in order to cover the worst case test for each BS. For DFT-s-OFDM, we are fine to keep the legacy test configuration, 5MHz for 15kHz SCS and 10MHz for 30kHz SCS.</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p>
    <w:p>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CP-OFDM</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cover 5MHz, 10MHz, 20MHz</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cover 10MHz, 20MHz, 40MHz, 100MHz</w:t>
      </w:r>
    </w:p>
    <w:p>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DFT-s-OFDM</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5MHz</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10MHz</w:t>
      </w:r>
    </w:p>
    <w:p>
      <w:pPr>
        <w:rPr>
          <w:b/>
          <w:u w:val="single"/>
        </w:rPr>
      </w:pPr>
    </w:p>
    <w:p>
      <w:pPr>
        <w:rPr>
          <w:b/>
          <w:i/>
          <w:iCs/>
          <w:sz w:val="20"/>
          <w:szCs w:val="20"/>
          <w:u w:val="single"/>
        </w:rPr>
      </w:pPr>
      <w:r>
        <w:rPr>
          <w:b/>
          <w:i/>
          <w:iCs/>
          <w:sz w:val="20"/>
          <w:szCs w:val="20"/>
          <w:u w:val="single"/>
        </w:rPr>
        <w:t>Number of interferers</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For 4Rx and 8Rx, consider 2 interferers.</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Check the performance gain of 1 or 2 interferers for 2Rx and make decision based on simulation result.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Based on our simulation results, for 2Rx, both 1 or 2 interferes scenarios have performance gain between IRC and MRC.</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From the point of decreasing the simulation and test effort, we can compromise to consider 2 interferes for HomNet and 1 interfere for HetNet.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5</w:t>
      </w:r>
      <w:r>
        <w:rPr>
          <w:rFonts w:eastAsia="等线"/>
          <w:b/>
          <w:bCs/>
          <w:i/>
          <w:iCs/>
          <w:sz w:val="20"/>
          <w:szCs w:val="20"/>
        </w:rPr>
        <w:t xml:space="preserve">: </w:t>
      </w:r>
      <w:r>
        <w:rPr>
          <w:rFonts w:hint="eastAsia" w:eastAsia="等线"/>
          <w:b/>
          <w:bCs/>
          <w:i/>
          <w:iCs/>
          <w:sz w:val="20"/>
          <w:szCs w:val="20"/>
          <w:lang w:val="en-US" w:eastAsia="zh-CN"/>
        </w:rPr>
        <w:t>For 2Rx, consider 2 interferes for HomNet and 1 interfere for HetNet.</w:t>
      </w:r>
    </w:p>
    <w:p>
      <w:pPr>
        <w:widowControl w:val="0"/>
        <w:numPr>
          <w:ilvl w:val="0"/>
          <w:numId w:val="0"/>
        </w:numPr>
        <w:tabs>
          <w:tab w:val="left" w:pos="484"/>
          <w:tab w:val="left" w:pos="709"/>
          <w:tab w:val="left" w:pos="1440"/>
          <w:tab w:val="left" w:pos="1701"/>
        </w:tabs>
        <w:overflowPunct/>
        <w:autoSpaceDE/>
        <w:adjustRightInd/>
        <w:snapToGrid w:val="0"/>
        <w:spacing w:before="60" w:after="60"/>
        <w:textAlignment w:val="auto"/>
        <w:rPr>
          <w:rFonts w:hint="default" w:eastAsia="宋体"/>
          <w:lang w:val="en-US" w:eastAsia="zh-CN"/>
        </w:rPr>
      </w:pPr>
    </w:p>
    <w:p>
      <w:pPr>
        <w:rPr>
          <w:b/>
          <w:i/>
          <w:iCs/>
          <w:sz w:val="20"/>
          <w:szCs w:val="20"/>
          <w:u w:val="single"/>
        </w:rPr>
      </w:pPr>
      <w:r>
        <w:rPr>
          <w:b/>
          <w:i/>
          <w:iCs/>
          <w:sz w:val="20"/>
          <w:szCs w:val="20"/>
          <w:u w:val="single"/>
        </w:rPr>
        <w:t>Propagation condition</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F</w:t>
      </w:r>
      <w:r>
        <w:rPr>
          <w:i/>
          <w:iCs/>
          <w:sz w:val="20"/>
          <w:szCs w:val="20"/>
          <w:lang w:eastAsia="zh-CN"/>
        </w:rPr>
        <w:t>or serving cell:</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O</w:t>
      </w:r>
      <w:r>
        <w:rPr>
          <w:rFonts w:eastAsiaTheme="minorEastAsia"/>
          <w:i/>
          <w:iCs/>
          <w:sz w:val="20"/>
          <w:szCs w:val="20"/>
          <w:lang w:val="en-US" w:eastAsia="zh-CN"/>
        </w:rPr>
        <w:t>ption 1: TDLA30-10 and TDLC300-100 for HetNet and HomNet respectively</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O</w:t>
      </w:r>
      <w:r>
        <w:rPr>
          <w:rFonts w:eastAsiaTheme="minorEastAsia"/>
          <w:i/>
          <w:iCs/>
          <w:sz w:val="20"/>
          <w:szCs w:val="20"/>
          <w:lang w:val="en-US" w:eastAsia="zh-CN"/>
        </w:rPr>
        <w:t>ption 2: TDLA30-10 and TDLB100-100 for HetNet and HomNet respectively</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Option 3: Cover TDLA30-10, TDLB100-400, TDLC300-100</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Option 4: Use TDLB100-400</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F</w:t>
      </w:r>
      <w:r>
        <w:rPr>
          <w:i/>
          <w:iCs/>
          <w:sz w:val="20"/>
          <w:szCs w:val="20"/>
          <w:lang w:eastAsia="zh-CN"/>
        </w:rPr>
        <w:t>or interference cell:</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O</w:t>
      </w:r>
      <w:r>
        <w:rPr>
          <w:rFonts w:eastAsiaTheme="minorEastAsia"/>
          <w:i/>
          <w:iCs/>
          <w:sz w:val="20"/>
          <w:szCs w:val="20"/>
          <w:lang w:val="en-US" w:eastAsia="zh-CN"/>
        </w:rPr>
        <w:t>ption 1: Introduce new propagation channel for testing with desired delay spread 1000ns for the interference PUSCH, i.e., TDLC1000</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O</w:t>
      </w:r>
      <w:r>
        <w:rPr>
          <w:rFonts w:eastAsiaTheme="minorEastAsia"/>
          <w:i/>
          <w:iCs/>
          <w:sz w:val="20"/>
          <w:szCs w:val="20"/>
          <w:lang w:val="en-US" w:eastAsia="zh-CN"/>
        </w:rPr>
        <w:t>ption 2: Same propagation condition for serving and interference PUSCH</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O</w:t>
      </w:r>
      <w:r>
        <w:rPr>
          <w:rFonts w:eastAsiaTheme="minorEastAsia"/>
          <w:i/>
          <w:iCs/>
          <w:sz w:val="20"/>
          <w:szCs w:val="20"/>
          <w:lang w:val="en-US" w:eastAsia="zh-CN"/>
        </w:rPr>
        <w:t>ption 3</w:t>
      </w:r>
      <w:r>
        <w:rPr>
          <w:rFonts w:hint="eastAsia" w:eastAsiaTheme="minorEastAsia"/>
          <w:i/>
          <w:iCs/>
          <w:sz w:val="20"/>
          <w:szCs w:val="20"/>
          <w:lang w:val="en-US" w:eastAsia="zh-CN"/>
        </w:rPr>
        <w:t>:</w:t>
      </w:r>
      <w:r>
        <w:rPr>
          <w:rFonts w:eastAsiaTheme="minorEastAsia"/>
          <w:i/>
          <w:iCs/>
          <w:sz w:val="20"/>
          <w:szCs w:val="20"/>
          <w:lang w:val="en-US" w:eastAsia="zh-CN"/>
        </w:rPr>
        <w:t xml:space="preserve"> Use TDLC300-100</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To decrease the simulation and test burden, we are fine to choose different propagation condition for HetNet and HomNet. In our point of view, at least TDLC300-100 for HomNet and TDLA 30-10 for HetNet shall be covered, same propagation condition for serving and interference PUSCH should be used. </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lang w:val="en-US" w:eastAsia="zh-CN"/>
        </w:rPr>
        <w:t>A</w:t>
      </w:r>
      <w:r>
        <w:rPr>
          <w:rFonts w:hint="eastAsia" w:eastAsia="等线"/>
          <w:b/>
          <w:bCs/>
          <w:i/>
          <w:iCs/>
          <w:sz w:val="20"/>
          <w:szCs w:val="20"/>
        </w:rPr>
        <w:t>t least TDLC300-100 for HomNet and TDLA 30-10 for HetNet shall be covered</w:t>
      </w:r>
      <w:r>
        <w:rPr>
          <w:rFonts w:hint="eastAsia" w:eastAsia="等线"/>
          <w:b/>
          <w:bCs/>
          <w:i/>
          <w:iCs/>
          <w:sz w:val="20"/>
          <w:szCs w:val="20"/>
          <w:lang w:val="en-US" w:eastAsia="zh-CN"/>
        </w:rPr>
        <w:t>, and same propagation condition for serving and interference PUSCH shall be used.</w:t>
      </w:r>
    </w:p>
    <w:p>
      <w:pPr>
        <w:rPr>
          <w:b/>
          <w:i/>
          <w:iCs/>
          <w:sz w:val="20"/>
          <w:szCs w:val="20"/>
          <w:u w:val="single"/>
        </w:rPr>
      </w:pPr>
    </w:p>
    <w:p>
      <w:pPr>
        <w:rPr>
          <w:b/>
          <w:i/>
          <w:iCs/>
          <w:sz w:val="20"/>
          <w:szCs w:val="20"/>
          <w:u w:val="single"/>
        </w:rPr>
      </w:pPr>
      <w:r>
        <w:rPr>
          <w:b/>
          <w:i/>
          <w:iCs/>
          <w:sz w:val="20"/>
          <w:szCs w:val="20"/>
          <w:u w:val="single"/>
        </w:rPr>
        <w:t>DMRS configuration</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 on DMRS type:</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1: Cover DMRS configuration type 1 and type 2</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 xml:space="preserve">ption 2: DMRS configuration type 1 </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 on DMRS sequence generation:</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 xml:space="preserve">ption 1: </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N</w:t>
      </w:r>
      <w:r>
        <w:rPr>
          <w:rFonts w:eastAsiaTheme="minorEastAsia"/>
          <w:i/>
          <w:iCs/>
          <w:sz w:val="20"/>
          <w:szCs w:val="20"/>
          <w:vertAlign w:val="subscript"/>
          <w:lang w:val="en-US" w:eastAsia="zh-CN"/>
        </w:rPr>
        <w:t>ID</w:t>
      </w:r>
      <w:r>
        <w:rPr>
          <w:rFonts w:eastAsiaTheme="minorEastAsia"/>
          <w:i/>
          <w:iCs/>
          <w:sz w:val="20"/>
          <w:szCs w:val="20"/>
          <w:vertAlign w:val="superscript"/>
          <w:lang w:val="en-US" w:eastAsia="zh-CN"/>
        </w:rPr>
        <w:t>0</w:t>
      </w:r>
      <w:r>
        <w:rPr>
          <w:rFonts w:eastAsiaTheme="minorEastAsia"/>
          <w:i/>
          <w:iCs/>
          <w:sz w:val="20"/>
          <w:szCs w:val="20"/>
          <w:lang w:val="en-US" w:eastAsia="zh-CN"/>
        </w:rPr>
        <w:t>=0, n</w:t>
      </w:r>
      <w:r>
        <w:rPr>
          <w:rFonts w:eastAsiaTheme="minorEastAsia"/>
          <w:i/>
          <w:iCs/>
          <w:sz w:val="20"/>
          <w:szCs w:val="20"/>
          <w:vertAlign w:val="subscript"/>
          <w:lang w:val="en-US" w:eastAsia="zh-CN"/>
        </w:rPr>
        <w:t>SCID</w:t>
      </w:r>
      <w:r>
        <w:rPr>
          <w:rFonts w:eastAsiaTheme="minorEastAsia"/>
          <w:i/>
          <w:iCs/>
          <w:sz w:val="20"/>
          <w:szCs w:val="20"/>
          <w:lang w:val="en-US" w:eastAsia="zh-CN"/>
        </w:rPr>
        <w:t xml:space="preserve"> =0 for CP-OFDM</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NID0=0, group hopping and sequence hopping are disabled for DFT-s-OFDM</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 xml:space="preserve">ption 2: </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n</w:t>
      </w:r>
      <w:r>
        <w:rPr>
          <w:rFonts w:eastAsiaTheme="minorEastAsia"/>
          <w:i/>
          <w:iCs/>
          <w:sz w:val="20"/>
          <w:szCs w:val="20"/>
          <w:vertAlign w:val="subscript"/>
          <w:lang w:val="en-US" w:eastAsia="zh-CN"/>
        </w:rPr>
        <w:t xml:space="preserve">SCID </w:t>
      </w:r>
      <w:r>
        <w:rPr>
          <w:rFonts w:eastAsiaTheme="minorEastAsia"/>
          <w:i/>
          <w:iCs/>
          <w:sz w:val="20"/>
          <w:szCs w:val="20"/>
          <w:lang w:val="en-US" w:eastAsia="zh-CN"/>
        </w:rPr>
        <w:t>=0 for all cells</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Different N</w:t>
      </w:r>
      <w:r>
        <w:rPr>
          <w:rFonts w:eastAsiaTheme="minorEastAsia"/>
          <w:i/>
          <w:iCs/>
          <w:sz w:val="20"/>
          <w:szCs w:val="20"/>
          <w:vertAlign w:val="subscript"/>
          <w:lang w:val="en-US" w:eastAsia="zh-CN"/>
        </w:rPr>
        <w:t>ID</w:t>
      </w:r>
      <w:r>
        <w:rPr>
          <w:rFonts w:eastAsiaTheme="minorEastAsia"/>
          <w:i/>
          <w:iCs/>
          <w:sz w:val="20"/>
          <w:szCs w:val="20"/>
          <w:vertAlign w:val="superscript"/>
          <w:lang w:val="en-US" w:eastAsia="zh-CN"/>
        </w:rPr>
        <w:t>0</w:t>
      </w:r>
      <w:r>
        <w:rPr>
          <w:rFonts w:eastAsiaTheme="minorEastAsia"/>
          <w:i/>
          <w:iCs/>
          <w:sz w:val="20"/>
          <w:szCs w:val="20"/>
          <w:lang w:val="en-US" w:eastAsia="zh-CN"/>
        </w:rPr>
        <w:t>=0 for serving and interference cells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Regarding DMRS type, we are fine to only cover DMRS type 1 to reduce the simulation and test effort.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DMRS sequence generation, n</w:t>
      </w:r>
      <w:r>
        <w:rPr>
          <w:rFonts w:hint="eastAsia" w:eastAsia="等线"/>
          <w:sz w:val="20"/>
          <w:szCs w:val="20"/>
          <w:vertAlign w:val="subscript"/>
          <w:lang w:val="en-US" w:eastAsia="zh-CN"/>
        </w:rPr>
        <w:t>SCID</w:t>
      </w:r>
      <w:r>
        <w:rPr>
          <w:rFonts w:hint="eastAsia" w:eastAsia="等线"/>
          <w:sz w:val="20"/>
          <w:szCs w:val="20"/>
          <w:lang w:val="en-US" w:eastAsia="zh-CN"/>
        </w:rPr>
        <w:t xml:space="preserve"> =0 can be used for all cells, while different N</w:t>
      </w:r>
      <w:r>
        <w:rPr>
          <w:rFonts w:hint="eastAsia" w:eastAsia="等线"/>
          <w:sz w:val="20"/>
          <w:szCs w:val="20"/>
          <w:vertAlign w:val="subscript"/>
          <w:lang w:val="en-US" w:eastAsia="zh-CN"/>
        </w:rPr>
        <w:t>ID</w:t>
      </w:r>
      <w:r>
        <w:rPr>
          <w:rFonts w:hint="eastAsia" w:eastAsia="等线"/>
          <w:sz w:val="20"/>
          <w:szCs w:val="20"/>
          <w:vertAlign w:val="superscript"/>
          <w:lang w:val="en-US" w:eastAsia="zh-CN"/>
        </w:rPr>
        <w:t xml:space="preserve">0 </w:t>
      </w:r>
      <w:r>
        <w:rPr>
          <w:rFonts w:hint="eastAsia" w:eastAsia="等线"/>
          <w:sz w:val="20"/>
          <w:szCs w:val="20"/>
          <w:lang w:val="en-US" w:eastAsia="zh-CN"/>
        </w:rPr>
        <w:t>shall be used to differentiate DMRSs among serving and interference cells</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lang w:val="en-US" w:eastAsia="zh-CN"/>
        </w:rPr>
        <w:t>Only cover DMRS type 1.</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 xml:space="preserve">Proposal 8: For DMRS sequence generation, </w:t>
      </w:r>
    </w:p>
    <w:p>
      <w:pPr>
        <w:pStyle w:val="74"/>
        <w:numPr>
          <w:ilvl w:val="0"/>
          <w:numId w:val="6"/>
        </w:numPr>
        <w:overflowPunct/>
        <w:autoSpaceDE/>
        <w:autoSpaceDN/>
        <w:adjustRightInd/>
        <w:snapToGrid w:val="0"/>
        <w:spacing w:before="60" w:after="60"/>
        <w:ind w:firstLineChars="0"/>
        <w:textAlignment w:val="auto"/>
        <w:rPr>
          <w:rFonts w:eastAsiaTheme="minorEastAsia"/>
          <w:b/>
          <w:bCs/>
          <w:i/>
          <w:iCs/>
          <w:sz w:val="20"/>
          <w:szCs w:val="20"/>
          <w:lang w:val="en-US" w:eastAsia="zh-CN"/>
        </w:rPr>
      </w:pPr>
      <w:r>
        <w:rPr>
          <w:rFonts w:eastAsiaTheme="minorEastAsia"/>
          <w:b/>
          <w:bCs/>
          <w:i/>
          <w:iCs/>
          <w:sz w:val="20"/>
          <w:szCs w:val="20"/>
          <w:lang w:val="en-US" w:eastAsia="zh-CN"/>
        </w:rPr>
        <w:t>n</w:t>
      </w:r>
      <w:r>
        <w:rPr>
          <w:rFonts w:eastAsiaTheme="minorEastAsia"/>
          <w:b/>
          <w:bCs/>
          <w:i/>
          <w:iCs/>
          <w:sz w:val="20"/>
          <w:szCs w:val="20"/>
          <w:vertAlign w:val="subscript"/>
          <w:lang w:val="en-US" w:eastAsia="zh-CN"/>
        </w:rPr>
        <w:t xml:space="preserve">SCID </w:t>
      </w:r>
      <w:r>
        <w:rPr>
          <w:rFonts w:eastAsiaTheme="minorEastAsia"/>
          <w:b/>
          <w:bCs/>
          <w:i/>
          <w:iCs/>
          <w:sz w:val="20"/>
          <w:szCs w:val="20"/>
          <w:lang w:val="en-US" w:eastAsia="zh-CN"/>
        </w:rPr>
        <w:t>=0 for all cells</w:t>
      </w:r>
    </w:p>
    <w:p>
      <w:pPr>
        <w:pStyle w:val="74"/>
        <w:numPr>
          <w:ilvl w:val="0"/>
          <w:numId w:val="6"/>
        </w:numPr>
        <w:overflowPunct/>
        <w:autoSpaceDE/>
        <w:autoSpaceDN/>
        <w:adjustRightInd/>
        <w:snapToGrid w:val="0"/>
        <w:spacing w:before="60" w:after="60"/>
        <w:ind w:firstLineChars="0"/>
        <w:textAlignment w:val="auto"/>
        <w:rPr>
          <w:rFonts w:eastAsiaTheme="minorEastAsia"/>
          <w:b/>
          <w:bCs/>
          <w:i/>
          <w:iCs/>
          <w:sz w:val="20"/>
          <w:szCs w:val="20"/>
          <w:lang w:val="en-US" w:eastAsia="zh-CN"/>
        </w:rPr>
      </w:pPr>
      <w:r>
        <w:rPr>
          <w:rFonts w:eastAsiaTheme="minorEastAsia"/>
          <w:b/>
          <w:bCs/>
          <w:i/>
          <w:iCs/>
          <w:sz w:val="20"/>
          <w:szCs w:val="20"/>
          <w:lang w:val="en-US" w:eastAsia="zh-CN"/>
        </w:rPr>
        <w:t>Different N</w:t>
      </w:r>
      <w:r>
        <w:rPr>
          <w:rFonts w:eastAsiaTheme="minorEastAsia"/>
          <w:b/>
          <w:bCs/>
          <w:i/>
          <w:iCs/>
          <w:sz w:val="20"/>
          <w:szCs w:val="20"/>
          <w:vertAlign w:val="subscript"/>
          <w:lang w:val="en-US" w:eastAsia="zh-CN"/>
        </w:rPr>
        <w:t>ID</w:t>
      </w:r>
      <w:r>
        <w:rPr>
          <w:rFonts w:eastAsiaTheme="minorEastAsia"/>
          <w:b/>
          <w:bCs/>
          <w:i/>
          <w:iCs/>
          <w:sz w:val="20"/>
          <w:szCs w:val="20"/>
          <w:vertAlign w:val="superscript"/>
          <w:lang w:val="en-US" w:eastAsia="zh-CN"/>
        </w:rPr>
        <w:t>0</w:t>
      </w:r>
      <w:r>
        <w:rPr>
          <w:rFonts w:eastAsiaTheme="minorEastAsia"/>
          <w:b/>
          <w:bCs/>
          <w:i/>
          <w:iCs/>
          <w:sz w:val="20"/>
          <w:szCs w:val="20"/>
          <w:lang w:val="en-US" w:eastAsia="zh-CN"/>
        </w:rPr>
        <w:t xml:space="preserve"> for serving and interference cells</w:t>
      </w:r>
    </w:p>
    <w:p>
      <w:pPr>
        <w:tabs>
          <w:tab w:val="left" w:pos="1134"/>
        </w:tabs>
        <w:spacing w:before="60"/>
        <w:jc w:val="both"/>
        <w:rPr>
          <w:rFonts w:hint="default" w:eastAsia="等线"/>
          <w:sz w:val="20"/>
          <w:szCs w:val="20"/>
          <w:lang w:val="en-US" w:eastAsia="zh-CN"/>
        </w:rPr>
      </w:pPr>
    </w:p>
    <w:p>
      <w:pPr>
        <w:rPr>
          <w:b/>
          <w:i/>
          <w:iCs/>
          <w:sz w:val="20"/>
          <w:szCs w:val="20"/>
          <w:u w:val="single"/>
        </w:rPr>
      </w:pPr>
      <w:r>
        <w:rPr>
          <w:b/>
          <w:i/>
          <w:iCs/>
          <w:sz w:val="20"/>
          <w:szCs w:val="20"/>
          <w:u w:val="single"/>
        </w:rPr>
        <w:t>Test requirement definition</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hint="eastAsia" w:eastAsia="宋体"/>
          <w:i/>
          <w:iCs/>
          <w:sz w:val="20"/>
          <w:szCs w:val="20"/>
          <w:lang w:eastAsia="zh-CN"/>
        </w:rPr>
        <w:t>Proposals</w:t>
      </w:r>
      <w:r>
        <w:rPr>
          <w:rFonts w:eastAsia="宋体"/>
          <w:i/>
          <w:iCs/>
          <w:sz w:val="20"/>
          <w:szCs w:val="20"/>
          <w:lang w:eastAsia="zh-CN"/>
        </w:rPr>
        <w:t>:</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 Using SINR based requirement definition</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2: SNR based requirement definition</w:t>
      </w:r>
    </w:p>
    <w:p>
      <w:pPr>
        <w:pStyle w:val="74"/>
        <w:numPr>
          <w:ilvl w:val="0"/>
          <w:numId w:val="4"/>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hint="eastAsia" w:eastAsia="宋体"/>
          <w:i/>
          <w:iCs/>
          <w:sz w:val="20"/>
          <w:szCs w:val="20"/>
          <w:lang w:eastAsia="zh-CN"/>
        </w:rPr>
        <w:t>Proposals</w:t>
      </w:r>
      <w:r>
        <w:rPr>
          <w:rFonts w:eastAsia="宋体"/>
          <w:i/>
          <w:iCs/>
          <w:sz w:val="20"/>
          <w:szCs w:val="20"/>
          <w:lang w:eastAsia="zh-CN"/>
        </w:rPr>
        <w:t xml:space="preserve"> on SINR definition:</w:t>
      </w:r>
    </w:p>
    <w:p>
      <w:pPr>
        <w:widowControl w:val="0"/>
        <w:numPr>
          <w:ilvl w:val="1"/>
          <w:numId w:val="5"/>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1:</w:t>
      </w:r>
    </w:p>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For BS type 1-C and BS type 1-H:</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sz w:val="20"/>
                <w:szCs w:val="20"/>
              </w:rPr>
            </w:pPr>
            <w:r>
              <w:rPr>
                <w:sz w:val="20"/>
                <w:szCs w:val="20"/>
              </w:rPr>
              <w:t xml:space="preserve">The SINR used in this clause is </w:t>
            </w:r>
            <w:r>
              <w:rPr>
                <w:sz w:val="20"/>
                <w:szCs w:val="20"/>
                <w:lang w:eastAsia="zh-CN"/>
              </w:rPr>
              <w:t xml:space="preserve">specified based on a single carrier and </w:t>
            </w:r>
            <w:r>
              <w:rPr>
                <w:sz w:val="20"/>
                <w:szCs w:val="20"/>
              </w:rPr>
              <w:t>defined as:</w:t>
            </w:r>
          </w:p>
          <w:p>
            <w:pPr>
              <w:pStyle w:val="50"/>
              <w:rPr>
                <w:sz w:val="20"/>
                <w:szCs w:val="20"/>
              </w:rPr>
            </w:pPr>
            <w:r>
              <w:rPr>
                <w:sz w:val="20"/>
                <w:szCs w:val="20"/>
              </w:rPr>
              <w:t>SINR = S / N’</w:t>
            </w:r>
          </w:p>
          <w:p>
            <w:pPr>
              <w:rPr>
                <w:sz w:val="20"/>
                <w:szCs w:val="20"/>
              </w:rPr>
            </w:pPr>
            <w:r>
              <w:rPr>
                <w:sz w:val="20"/>
                <w:szCs w:val="20"/>
              </w:rPr>
              <w:t>Where:</w:t>
            </w:r>
          </w:p>
          <w:p>
            <w:pPr>
              <w:pStyle w:val="50"/>
              <w:rPr>
                <w:sz w:val="20"/>
                <w:szCs w:val="20"/>
              </w:rPr>
            </w:pPr>
            <w:r>
              <w:rPr>
                <w:sz w:val="20"/>
                <w:szCs w:val="20"/>
              </w:rPr>
              <w:t>S</w:t>
            </w:r>
            <w:r>
              <w:rPr>
                <w:sz w:val="20"/>
                <w:szCs w:val="20"/>
              </w:rPr>
              <w:tab/>
            </w:r>
            <w:r>
              <w:rPr>
                <w:sz w:val="20"/>
                <w:szCs w:val="20"/>
              </w:rPr>
              <w:t xml:space="preserve">is the total signal energy of one intra-cell UE in the slot on a single </w:t>
            </w:r>
            <w:r>
              <w:rPr>
                <w:i/>
                <w:sz w:val="20"/>
                <w:szCs w:val="20"/>
              </w:rPr>
              <w:t>antenna connector</w:t>
            </w:r>
            <w:r>
              <w:rPr>
                <w:sz w:val="20"/>
                <w:szCs w:val="20"/>
              </w:rPr>
              <w:t xml:space="preserve"> (for </w:t>
            </w:r>
            <w:r>
              <w:rPr>
                <w:i/>
                <w:sz w:val="20"/>
                <w:szCs w:val="20"/>
              </w:rPr>
              <w:t>BS type 1-C</w:t>
            </w:r>
            <w:r>
              <w:rPr>
                <w:sz w:val="20"/>
                <w:szCs w:val="20"/>
              </w:rPr>
              <w:t xml:space="preserve">) or on a single </w:t>
            </w:r>
            <w:r>
              <w:rPr>
                <w:i/>
                <w:sz w:val="20"/>
                <w:szCs w:val="20"/>
              </w:rPr>
              <w:t>TAB connector</w:t>
            </w:r>
            <w:r>
              <w:rPr>
                <w:sz w:val="20"/>
                <w:szCs w:val="20"/>
              </w:rPr>
              <w:t xml:space="preserve"> (for </w:t>
            </w:r>
            <w:r>
              <w:rPr>
                <w:i/>
                <w:sz w:val="20"/>
                <w:szCs w:val="20"/>
              </w:rPr>
              <w:t>BS type 1-H</w:t>
            </w:r>
            <w:r>
              <w:rPr>
                <w:sz w:val="20"/>
                <w:szCs w:val="20"/>
              </w:rPr>
              <w:t>).</w:t>
            </w:r>
          </w:p>
          <w:p>
            <w:pPr>
              <w:pStyle w:val="50"/>
              <w:rPr>
                <w:sz w:val="20"/>
                <w:szCs w:val="20"/>
                <w:lang w:eastAsia="zh-CN"/>
              </w:rPr>
            </w:pPr>
            <w:r>
              <w:rPr>
                <w:sz w:val="20"/>
                <w:szCs w:val="20"/>
              </w:rPr>
              <w:t>N’</w:t>
            </w:r>
            <w:r>
              <w:rPr>
                <w:sz w:val="20"/>
                <w:szCs w:val="20"/>
              </w:rPr>
              <w:tab/>
            </w:r>
            <w:r>
              <w:rPr>
                <w:sz w:val="20"/>
                <w:szCs w:val="20"/>
              </w:rPr>
              <w:t xml:space="preserve">is the summation of the received energy of the strongest inter-cell interfering signals explicitly defined in a test procedure plus the white noise energy N in a bandwidth corresponding to the </w:t>
            </w:r>
            <w:r>
              <w:rPr>
                <w:i/>
                <w:iCs/>
                <w:sz w:val="20"/>
                <w:szCs w:val="20"/>
              </w:rPr>
              <w:t>transmission bandwidth</w:t>
            </w:r>
            <w:r>
              <w:rPr>
                <w:sz w:val="20"/>
                <w:szCs w:val="20"/>
              </w:rPr>
              <w:t xml:space="preserve"> over the same duration where signal energy exists on a single antenna connector (for BS type 1-C) or on a single TAB connector (for BS type 1-H). The respective energy of each inter-cell interfering signal relative to N is defined by its associated INR value. </w:t>
            </w:r>
          </w:p>
        </w:tc>
      </w:tr>
    </w:tbl>
    <w:p>
      <w:pPr>
        <w:pStyle w:val="74"/>
        <w:numPr>
          <w:ilvl w:val="0"/>
          <w:numId w:val="6"/>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For BS type 1-O</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7" w:type="dxa"/>
          </w:tcPr>
          <w:p>
            <w:pPr>
              <w:rPr>
                <w:sz w:val="20"/>
                <w:szCs w:val="20"/>
              </w:rPr>
            </w:pPr>
            <w:r>
              <w:rPr>
                <w:sz w:val="20"/>
                <w:szCs w:val="20"/>
              </w:rPr>
              <w:t xml:space="preserve">The SINR used in this clause is </w:t>
            </w:r>
            <w:r>
              <w:rPr>
                <w:sz w:val="20"/>
                <w:szCs w:val="20"/>
                <w:lang w:eastAsia="zh-CN"/>
              </w:rPr>
              <w:t xml:space="preserve">specified based on a single carrier and </w:t>
            </w:r>
            <w:r>
              <w:rPr>
                <w:sz w:val="20"/>
                <w:szCs w:val="20"/>
              </w:rPr>
              <w:t>defined as:</w:t>
            </w:r>
          </w:p>
          <w:p>
            <w:pPr>
              <w:pStyle w:val="50"/>
              <w:rPr>
                <w:sz w:val="20"/>
                <w:szCs w:val="20"/>
              </w:rPr>
            </w:pPr>
            <w:r>
              <w:rPr>
                <w:sz w:val="20"/>
                <w:szCs w:val="20"/>
              </w:rPr>
              <w:t>SINR = S / N’</w:t>
            </w:r>
          </w:p>
          <w:p>
            <w:pPr>
              <w:rPr>
                <w:sz w:val="20"/>
                <w:szCs w:val="20"/>
              </w:rPr>
            </w:pPr>
            <w:r>
              <w:rPr>
                <w:sz w:val="20"/>
                <w:szCs w:val="20"/>
              </w:rPr>
              <w:t>Where:</w:t>
            </w:r>
          </w:p>
          <w:p>
            <w:pPr>
              <w:pStyle w:val="50"/>
              <w:rPr>
                <w:sz w:val="20"/>
                <w:szCs w:val="20"/>
              </w:rPr>
            </w:pPr>
            <w:r>
              <w:rPr>
                <w:sz w:val="20"/>
                <w:szCs w:val="20"/>
              </w:rPr>
              <w:t>S</w:t>
            </w:r>
            <w:r>
              <w:rPr>
                <w:sz w:val="20"/>
                <w:szCs w:val="20"/>
              </w:rPr>
              <w:tab/>
            </w:r>
            <w:r>
              <w:rPr>
                <w:sz w:val="20"/>
                <w:szCs w:val="20"/>
              </w:rPr>
              <w:t>is the total signal energy of one intra-cell UE in a slot on a RIB.</w:t>
            </w:r>
          </w:p>
          <w:p>
            <w:pPr>
              <w:pStyle w:val="50"/>
              <w:rPr>
                <w:sz w:val="20"/>
                <w:szCs w:val="20"/>
              </w:rPr>
            </w:pPr>
            <w:r>
              <w:rPr>
                <w:sz w:val="20"/>
                <w:szCs w:val="20"/>
              </w:rPr>
              <w:t>N’</w:t>
            </w:r>
            <w:r>
              <w:rPr>
                <w:sz w:val="20"/>
                <w:szCs w:val="20"/>
              </w:rPr>
              <w:tab/>
            </w:r>
            <w:r>
              <w:rPr>
                <w:sz w:val="20"/>
                <w:szCs w:val="20"/>
              </w:rPr>
              <w:t xml:space="preserve">is the summation of the received energy of the strongest inter-cell interfering signals explicitly defined in a test procedure plus the white noise energy N in a bandwidth corresponding to the </w:t>
            </w:r>
            <w:r>
              <w:rPr>
                <w:i/>
                <w:iCs/>
                <w:sz w:val="20"/>
                <w:szCs w:val="20"/>
              </w:rPr>
              <w:t>transmission bandwidth</w:t>
            </w:r>
            <w:r>
              <w:rPr>
                <w:sz w:val="20"/>
                <w:szCs w:val="20"/>
              </w:rPr>
              <w:t xml:space="preserve"> over the same duration where signal energy exists on a RIB. The respective energy of each inter-cell interfering signal relative to N is defined by its associated INR value.</w:t>
            </w:r>
          </w:p>
        </w:tc>
      </w:tr>
    </w:tbl>
    <w:p>
      <w:pPr>
        <w:rPr>
          <w:b/>
          <w:i/>
          <w:iCs/>
          <w:sz w:val="20"/>
          <w:szCs w:val="20"/>
          <w:u w:val="single"/>
        </w:rPr>
      </w:pP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In last meeting, RAN4 has agreed to use </w:t>
      </w:r>
      <w:r>
        <w:rPr>
          <w:rFonts w:hint="default" w:eastAsia="等线"/>
          <w:sz w:val="20"/>
          <w:szCs w:val="20"/>
          <w:lang w:val="en-US" w:eastAsia="zh-CN"/>
        </w:rPr>
        <w:t>INR-based</w:t>
      </w:r>
      <w:r>
        <w:rPr>
          <w:rFonts w:hint="eastAsia" w:eastAsia="等线"/>
          <w:sz w:val="20"/>
          <w:szCs w:val="20"/>
          <w:lang w:val="en-US" w:eastAsia="zh-CN"/>
        </w:rPr>
        <w:t xml:space="preserve"> interference modelling, consider of using INR+SNR approach to define the requirement is more generic, we support to use SNR based requirement definition.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9</w:t>
      </w:r>
      <w:r>
        <w:rPr>
          <w:rFonts w:eastAsia="等线"/>
          <w:b/>
          <w:bCs/>
          <w:i/>
          <w:iCs/>
          <w:sz w:val="20"/>
          <w:szCs w:val="20"/>
        </w:rPr>
        <w:t xml:space="preserve">: </w:t>
      </w:r>
      <w:r>
        <w:rPr>
          <w:rFonts w:hint="eastAsia" w:eastAsia="等线"/>
          <w:b/>
          <w:bCs/>
          <w:i/>
          <w:iCs/>
          <w:sz w:val="20"/>
          <w:szCs w:val="20"/>
          <w:lang w:val="en-US" w:eastAsia="zh-CN"/>
        </w:rPr>
        <w:t>Use SNR based requirement definition.</w:t>
      </w:r>
    </w:p>
    <w:p>
      <w:pPr>
        <w:tabs>
          <w:tab w:val="left" w:pos="1134"/>
        </w:tabs>
        <w:spacing w:before="60"/>
        <w:jc w:val="both"/>
        <w:rPr>
          <w:rFonts w:hint="default" w:eastAsia="等线"/>
          <w:sz w:val="20"/>
          <w:szCs w:val="20"/>
          <w:lang w:val="en-US" w:eastAsia="zh-CN"/>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BS 8Rx interference suppressing requirement</w:t>
      </w:r>
      <w:r>
        <w:rPr>
          <w:sz w:val="20"/>
          <w:szCs w:val="20"/>
        </w:rPr>
        <w:t>. The proposals are:</w:t>
      </w:r>
      <w:bookmarkEnd w:id="4"/>
      <w:bookmarkEnd w:id="5"/>
    </w:p>
    <w:p>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lang w:val="en-US" w:eastAsia="zh-CN"/>
        </w:rPr>
        <w:t>Proposal 1: Introduce the applicability rule that the test requirements of Homogeneous network are not applicable for Local Area BS.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b/>
          <w:bCs/>
          <w:i/>
          <w:iCs/>
          <w:sz w:val="20"/>
          <w:szCs w:val="20"/>
          <w:lang w:val="en-US" w:eastAsia="zh-CN"/>
        </w:rPr>
        <w:t>Reuse LTE based interference profile in TR 36.884, that are DIP1 = -1.11 and DIP2 = -10.91 for Homogeneous network, DIP1 = -0.43 and DIP2 = -13.78 for Heterogeneous network.</w:t>
      </w:r>
    </w:p>
    <w:p>
      <w:pPr>
        <w:tabs>
          <w:tab w:val="left" w:pos="1134"/>
        </w:tabs>
        <w:spacing w:before="156" w:beforeLines="50"/>
        <w:jc w:val="both"/>
        <w:rPr>
          <w:b/>
          <w:i/>
          <w:iCs/>
          <w:sz w:val="20"/>
          <w:szCs w:val="20"/>
          <w:u w:val="single"/>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Cover DFT-s-OFDM related requirements.</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p>
    <w:p>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CP-OFDM</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cover 5MHz, 10MHz, 20MHz</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cover 10MHz, 20MHz, 40MHz, 100MHz</w:t>
      </w:r>
    </w:p>
    <w:p>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DFT-s-OFDM</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5MHz</w:t>
      </w:r>
    </w:p>
    <w:p>
      <w:pPr>
        <w:keepNext w:val="0"/>
        <w:keepLines w:val="0"/>
        <w:pageBreakBefore w:val="0"/>
        <w:widowControl/>
        <w:numPr>
          <w:ilvl w:val="1"/>
          <w:numId w:val="8"/>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10MHz</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5</w:t>
      </w:r>
      <w:r>
        <w:rPr>
          <w:rFonts w:eastAsia="等线"/>
          <w:b/>
          <w:bCs/>
          <w:i/>
          <w:iCs/>
          <w:sz w:val="20"/>
          <w:szCs w:val="20"/>
        </w:rPr>
        <w:t xml:space="preserve">: </w:t>
      </w:r>
      <w:r>
        <w:rPr>
          <w:rFonts w:hint="eastAsia" w:eastAsia="等线"/>
          <w:b/>
          <w:bCs/>
          <w:i/>
          <w:iCs/>
          <w:sz w:val="20"/>
          <w:szCs w:val="20"/>
          <w:lang w:val="en-US" w:eastAsia="zh-CN"/>
        </w:rPr>
        <w:t>For 2Rx, consider 2 interferes for HomNet and 1 interfere for HetNet.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lang w:val="en-US" w:eastAsia="zh-CN"/>
        </w:rPr>
        <w:t>A</w:t>
      </w:r>
      <w:r>
        <w:rPr>
          <w:rFonts w:hint="eastAsia" w:eastAsia="等线"/>
          <w:b/>
          <w:bCs/>
          <w:i/>
          <w:iCs/>
          <w:sz w:val="20"/>
          <w:szCs w:val="20"/>
        </w:rPr>
        <w:t>t least TDLC300-100 for HomNet and TDLA 30-10 for HetNet shall be covered</w:t>
      </w:r>
      <w:r>
        <w:rPr>
          <w:rFonts w:hint="eastAsia" w:eastAsia="等线"/>
          <w:b/>
          <w:bCs/>
          <w:i/>
          <w:iCs/>
          <w:sz w:val="20"/>
          <w:szCs w:val="20"/>
          <w:lang w:val="en-US" w:eastAsia="zh-CN"/>
        </w:rPr>
        <w:t>, and same propagation condition for serving and interference PUSCH shall be used.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lang w:val="en-US" w:eastAsia="zh-CN"/>
        </w:rPr>
        <w:t>Only cover DMRS type 1.</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 xml:space="preserve">Proposal 8: For DMRS sequence generation, </w:t>
      </w:r>
    </w:p>
    <w:p>
      <w:pPr>
        <w:pStyle w:val="74"/>
        <w:numPr>
          <w:ilvl w:val="0"/>
          <w:numId w:val="6"/>
        </w:numPr>
        <w:overflowPunct/>
        <w:autoSpaceDE/>
        <w:autoSpaceDN/>
        <w:adjustRightInd/>
        <w:snapToGrid w:val="0"/>
        <w:spacing w:before="60" w:after="60"/>
        <w:ind w:firstLineChars="0"/>
        <w:textAlignment w:val="auto"/>
        <w:rPr>
          <w:rFonts w:eastAsiaTheme="minorEastAsia"/>
          <w:b/>
          <w:bCs/>
          <w:i/>
          <w:iCs/>
          <w:sz w:val="20"/>
          <w:szCs w:val="20"/>
          <w:lang w:val="en-US" w:eastAsia="zh-CN"/>
        </w:rPr>
      </w:pPr>
      <w:r>
        <w:rPr>
          <w:rFonts w:eastAsiaTheme="minorEastAsia"/>
          <w:b/>
          <w:bCs/>
          <w:i/>
          <w:iCs/>
          <w:sz w:val="20"/>
          <w:szCs w:val="20"/>
          <w:lang w:val="en-US" w:eastAsia="zh-CN"/>
        </w:rPr>
        <w:t>n</w:t>
      </w:r>
      <w:r>
        <w:rPr>
          <w:rFonts w:eastAsiaTheme="minorEastAsia"/>
          <w:b/>
          <w:bCs/>
          <w:i/>
          <w:iCs/>
          <w:sz w:val="20"/>
          <w:szCs w:val="20"/>
          <w:vertAlign w:val="subscript"/>
          <w:lang w:val="en-US" w:eastAsia="zh-CN"/>
        </w:rPr>
        <w:t xml:space="preserve">SCID </w:t>
      </w:r>
      <w:r>
        <w:rPr>
          <w:rFonts w:eastAsiaTheme="minorEastAsia"/>
          <w:b/>
          <w:bCs/>
          <w:i/>
          <w:iCs/>
          <w:sz w:val="20"/>
          <w:szCs w:val="20"/>
          <w:lang w:val="en-US" w:eastAsia="zh-CN"/>
        </w:rPr>
        <w:t>=0 for all cells</w:t>
      </w:r>
    </w:p>
    <w:p>
      <w:pPr>
        <w:pStyle w:val="74"/>
        <w:numPr>
          <w:ilvl w:val="0"/>
          <w:numId w:val="6"/>
        </w:numPr>
        <w:overflowPunct/>
        <w:autoSpaceDE/>
        <w:autoSpaceDN/>
        <w:adjustRightInd/>
        <w:snapToGrid w:val="0"/>
        <w:spacing w:before="60" w:after="60"/>
        <w:ind w:firstLineChars="0"/>
        <w:textAlignment w:val="auto"/>
        <w:rPr>
          <w:rFonts w:eastAsiaTheme="minorEastAsia"/>
          <w:b/>
          <w:bCs/>
          <w:i/>
          <w:iCs/>
          <w:sz w:val="20"/>
          <w:szCs w:val="20"/>
          <w:lang w:val="en-US" w:eastAsia="zh-CN"/>
        </w:rPr>
      </w:pPr>
      <w:r>
        <w:rPr>
          <w:rFonts w:eastAsiaTheme="minorEastAsia"/>
          <w:b/>
          <w:bCs/>
          <w:i/>
          <w:iCs/>
          <w:sz w:val="20"/>
          <w:szCs w:val="20"/>
          <w:lang w:val="en-US" w:eastAsia="zh-CN"/>
        </w:rPr>
        <w:t>Different N</w:t>
      </w:r>
      <w:r>
        <w:rPr>
          <w:rFonts w:eastAsiaTheme="minorEastAsia"/>
          <w:b/>
          <w:bCs/>
          <w:i/>
          <w:iCs/>
          <w:sz w:val="20"/>
          <w:szCs w:val="20"/>
          <w:vertAlign w:val="subscript"/>
          <w:lang w:val="en-US" w:eastAsia="zh-CN"/>
        </w:rPr>
        <w:t>ID</w:t>
      </w:r>
      <w:r>
        <w:rPr>
          <w:rFonts w:eastAsiaTheme="minorEastAsia"/>
          <w:b/>
          <w:bCs/>
          <w:i/>
          <w:iCs/>
          <w:sz w:val="20"/>
          <w:szCs w:val="20"/>
          <w:vertAlign w:val="superscript"/>
          <w:lang w:val="en-US" w:eastAsia="zh-CN"/>
        </w:rPr>
        <w:t>0</w:t>
      </w:r>
      <w:r>
        <w:rPr>
          <w:rFonts w:eastAsiaTheme="minorEastAsia"/>
          <w:b/>
          <w:bCs/>
          <w:i/>
          <w:iCs/>
          <w:sz w:val="20"/>
          <w:szCs w:val="20"/>
          <w:lang w:val="en-US" w:eastAsia="zh-CN"/>
        </w:rPr>
        <w:t xml:space="preserve"> for serving and interference cells</w:t>
      </w:r>
    </w:p>
    <w:p>
      <w:pPr>
        <w:tabs>
          <w:tab w:val="left" w:pos="1134"/>
        </w:tabs>
        <w:spacing w:before="156" w:beforeLines="50"/>
        <w:jc w:val="both"/>
        <w:rPr>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9</w:t>
      </w:r>
      <w:r>
        <w:rPr>
          <w:rFonts w:eastAsia="等线"/>
          <w:b/>
          <w:bCs/>
          <w:i/>
          <w:iCs/>
          <w:sz w:val="20"/>
          <w:szCs w:val="20"/>
        </w:rPr>
        <w:t xml:space="preserve">: </w:t>
      </w:r>
      <w:r>
        <w:rPr>
          <w:rFonts w:hint="eastAsia" w:eastAsia="等线"/>
          <w:b/>
          <w:bCs/>
          <w:i/>
          <w:iCs/>
          <w:sz w:val="20"/>
          <w:szCs w:val="20"/>
          <w:lang w:val="en-US" w:eastAsia="zh-CN"/>
        </w:rPr>
        <w:t>Use SNR based requirement definition.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4-241</w:t>
      </w:r>
      <w:r>
        <w:rPr>
          <w:rFonts w:hint="eastAsia" w:eastAsiaTheme="minorEastAsia"/>
          <w:sz w:val="20"/>
          <w:szCs w:val="20"/>
          <w:lang w:val="en-US" w:eastAsia="zh-CN"/>
        </w:rPr>
        <w:t>6548</w:t>
      </w:r>
      <w:r>
        <w:rPr>
          <w:rFonts w:eastAsiaTheme="minorEastAsia"/>
          <w:sz w:val="20"/>
          <w:szCs w:val="20"/>
          <w:lang w:val="en-GB"/>
        </w:rPr>
        <w:t xml:space="preserve">, </w:t>
      </w:r>
      <w:r>
        <w:rPr>
          <w:rFonts w:hint="eastAsia" w:eastAsiaTheme="minorEastAsia"/>
          <w:sz w:val="20"/>
          <w:szCs w:val="20"/>
          <w:lang w:val="en-GB"/>
        </w:rPr>
        <w:t>WF on [112bis][319] NR_demod_Ph5_Part1_General_BS</w:t>
      </w:r>
      <w:r>
        <w:rPr>
          <w:rFonts w:hint="eastAsia" w:eastAsiaTheme="minorEastAsia"/>
          <w:sz w:val="20"/>
          <w:szCs w:val="20"/>
          <w:lang w:val="en-US" w:eastAsia="zh-CN"/>
        </w:rPr>
        <w:t xml:space="preserve">, </w:t>
      </w:r>
      <w:r>
        <w:rPr>
          <w:rFonts w:hint="eastAsia" w:eastAsiaTheme="minorEastAsia"/>
          <w:sz w:val="20"/>
          <w:szCs w:val="20"/>
          <w:lang w:val="en-GB"/>
        </w:rPr>
        <w:t>China Telecom</w:t>
      </w:r>
    </w:p>
    <w:p>
      <w:pPr>
        <w:rPr>
          <w:rFonts w:eastAsiaTheme="minorEastAsia"/>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28C14"/>
    <w:multiLevelType w:val="singleLevel"/>
    <w:tmpl w:val="B4728C14"/>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4F2A45"/>
    <w:multiLevelType w:val="multilevel"/>
    <w:tmpl w:val="2A4F2A4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1"/>
  </w:num>
  <w:num w:numId="4">
    <w:abstractNumId w:val="5"/>
  </w:num>
  <w:num w:numId="5">
    <w:abstractNumId w:val="3"/>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52B"/>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80B5D"/>
    <w:rsid w:val="024C3B89"/>
    <w:rsid w:val="02D06333"/>
    <w:rsid w:val="03BD00D9"/>
    <w:rsid w:val="04B95A16"/>
    <w:rsid w:val="04BD7273"/>
    <w:rsid w:val="057247DA"/>
    <w:rsid w:val="07EA14B7"/>
    <w:rsid w:val="08DA059C"/>
    <w:rsid w:val="09183871"/>
    <w:rsid w:val="09353D90"/>
    <w:rsid w:val="0A2E783D"/>
    <w:rsid w:val="0B031BD3"/>
    <w:rsid w:val="0B5E1C21"/>
    <w:rsid w:val="0C0B2836"/>
    <w:rsid w:val="0E3B3604"/>
    <w:rsid w:val="0E805B23"/>
    <w:rsid w:val="0E9C1CE5"/>
    <w:rsid w:val="0EC114B0"/>
    <w:rsid w:val="11EC3624"/>
    <w:rsid w:val="12100603"/>
    <w:rsid w:val="139117AD"/>
    <w:rsid w:val="143164E7"/>
    <w:rsid w:val="14DA3FBC"/>
    <w:rsid w:val="160675EB"/>
    <w:rsid w:val="161D3503"/>
    <w:rsid w:val="16383B80"/>
    <w:rsid w:val="1706234B"/>
    <w:rsid w:val="18761C3F"/>
    <w:rsid w:val="1892641E"/>
    <w:rsid w:val="18B91234"/>
    <w:rsid w:val="18C46E74"/>
    <w:rsid w:val="19911272"/>
    <w:rsid w:val="19A15BD8"/>
    <w:rsid w:val="19B41DED"/>
    <w:rsid w:val="19C20B7E"/>
    <w:rsid w:val="1A096918"/>
    <w:rsid w:val="1C110610"/>
    <w:rsid w:val="1C277B2A"/>
    <w:rsid w:val="1C960747"/>
    <w:rsid w:val="1E5C4484"/>
    <w:rsid w:val="1FA76ADD"/>
    <w:rsid w:val="1FCA4D36"/>
    <w:rsid w:val="202A27D1"/>
    <w:rsid w:val="206A69BE"/>
    <w:rsid w:val="21316F3F"/>
    <w:rsid w:val="23460611"/>
    <w:rsid w:val="242A63A6"/>
    <w:rsid w:val="246A4318"/>
    <w:rsid w:val="24C811D2"/>
    <w:rsid w:val="24F611B1"/>
    <w:rsid w:val="26B36FEF"/>
    <w:rsid w:val="26E5752B"/>
    <w:rsid w:val="26F135E1"/>
    <w:rsid w:val="278F1C29"/>
    <w:rsid w:val="282F4A63"/>
    <w:rsid w:val="283574F8"/>
    <w:rsid w:val="2A532C63"/>
    <w:rsid w:val="2AE553C9"/>
    <w:rsid w:val="2CF775D2"/>
    <w:rsid w:val="2F59072A"/>
    <w:rsid w:val="317E652A"/>
    <w:rsid w:val="32F26A43"/>
    <w:rsid w:val="33122AC2"/>
    <w:rsid w:val="33F42736"/>
    <w:rsid w:val="341D68C0"/>
    <w:rsid w:val="38772AB7"/>
    <w:rsid w:val="3A743073"/>
    <w:rsid w:val="3C586312"/>
    <w:rsid w:val="3E96482D"/>
    <w:rsid w:val="4000742F"/>
    <w:rsid w:val="429546AA"/>
    <w:rsid w:val="42FF5BAC"/>
    <w:rsid w:val="43131FB5"/>
    <w:rsid w:val="45150359"/>
    <w:rsid w:val="460D1BD4"/>
    <w:rsid w:val="46C06704"/>
    <w:rsid w:val="4AA160C5"/>
    <w:rsid w:val="4AAF53D6"/>
    <w:rsid w:val="4AFA2B52"/>
    <w:rsid w:val="4B5F04E3"/>
    <w:rsid w:val="4C827040"/>
    <w:rsid w:val="4D1D1BAB"/>
    <w:rsid w:val="4DA37337"/>
    <w:rsid w:val="4DD642A7"/>
    <w:rsid w:val="4E1420FE"/>
    <w:rsid w:val="501228E1"/>
    <w:rsid w:val="504A4FDD"/>
    <w:rsid w:val="511C3E4C"/>
    <w:rsid w:val="523A383D"/>
    <w:rsid w:val="53E80837"/>
    <w:rsid w:val="53F83FD3"/>
    <w:rsid w:val="54CD03D4"/>
    <w:rsid w:val="55381968"/>
    <w:rsid w:val="55487CEC"/>
    <w:rsid w:val="558B6A30"/>
    <w:rsid w:val="559E607A"/>
    <w:rsid w:val="57F035F8"/>
    <w:rsid w:val="580B0311"/>
    <w:rsid w:val="584D0A2B"/>
    <w:rsid w:val="58556A81"/>
    <w:rsid w:val="590603D5"/>
    <w:rsid w:val="592D7A06"/>
    <w:rsid w:val="5AB96D2E"/>
    <w:rsid w:val="5B330B7A"/>
    <w:rsid w:val="5C257189"/>
    <w:rsid w:val="5D0166FE"/>
    <w:rsid w:val="5DEB6EA5"/>
    <w:rsid w:val="5E0C14B0"/>
    <w:rsid w:val="5E322F82"/>
    <w:rsid w:val="5F123686"/>
    <w:rsid w:val="608E444F"/>
    <w:rsid w:val="620A7660"/>
    <w:rsid w:val="632C567F"/>
    <w:rsid w:val="63800833"/>
    <w:rsid w:val="659A4242"/>
    <w:rsid w:val="65CA1897"/>
    <w:rsid w:val="667944E3"/>
    <w:rsid w:val="66C9707F"/>
    <w:rsid w:val="67D31308"/>
    <w:rsid w:val="68B34721"/>
    <w:rsid w:val="6A2853AA"/>
    <w:rsid w:val="6A675B29"/>
    <w:rsid w:val="6A8268BE"/>
    <w:rsid w:val="6AAC049F"/>
    <w:rsid w:val="6BF53BAD"/>
    <w:rsid w:val="6C5C2CD7"/>
    <w:rsid w:val="6C7B38DA"/>
    <w:rsid w:val="717D06BD"/>
    <w:rsid w:val="71882E8E"/>
    <w:rsid w:val="74D41FF8"/>
    <w:rsid w:val="74DE1908"/>
    <w:rsid w:val="75B92E5D"/>
    <w:rsid w:val="77DA1E49"/>
    <w:rsid w:val="7898291C"/>
    <w:rsid w:val="79355A99"/>
    <w:rsid w:val="7A9A41EB"/>
    <w:rsid w:val="7B903AA1"/>
    <w:rsid w:val="7CAD001B"/>
    <w:rsid w:val="7D0D4989"/>
    <w:rsid w:val="7DFE2E40"/>
    <w:rsid w:val="7E411817"/>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5</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2024-11-08T07:47:42Z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